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45C6" w14:textId="74E462B3" w:rsidR="00CB305A" w:rsidRDefault="00CB305A" w:rsidP="00CB305A">
      <w:pPr>
        <w:rPr>
          <w:rFonts w:ascii="TheMix Trial SemiLight" w:hAnsi="TheMix Trial SemiLight"/>
          <w:b/>
          <w:bCs/>
          <w:color w:val="004852"/>
          <w:sz w:val="24"/>
          <w:szCs w:val="28"/>
        </w:rPr>
      </w:pPr>
      <w:r w:rsidRPr="00CB305A">
        <w:rPr>
          <w:rFonts w:ascii="TheMix Trial SemiLight" w:hAnsi="TheMix Trial SemiLight"/>
          <w:b/>
          <w:bCs/>
          <w:color w:val="004852"/>
          <w:sz w:val="24"/>
          <w:szCs w:val="28"/>
        </w:rPr>
        <w:t>Client Guide: Understanding Data Protection</w:t>
      </w:r>
    </w:p>
    <w:p w14:paraId="04CA92A2" w14:textId="77777777" w:rsidR="008551A5" w:rsidRDefault="008551A5" w:rsidP="00CB305A">
      <w:pPr>
        <w:rPr>
          <w:rFonts w:ascii="TheMix Trial SemiLight" w:hAnsi="TheMix Trial SemiLight"/>
          <w:b/>
          <w:bCs/>
          <w:color w:val="004852"/>
          <w:sz w:val="24"/>
          <w:szCs w:val="28"/>
        </w:rPr>
      </w:pPr>
    </w:p>
    <w:p w14:paraId="4E52250B" w14:textId="55405302" w:rsidR="00BB4D12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Introduction</w:t>
      </w:r>
    </w:p>
    <w:p w14:paraId="3CE81EC1" w14:textId="77777777" w:rsidR="008551A5" w:rsidRPr="00CB305A" w:rsidRDefault="008551A5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</w:p>
    <w:p w14:paraId="3C3001C6" w14:textId="77777777" w:rsidR="008551A5" w:rsidRDefault="00CB305A" w:rsidP="00CB305A">
      <w:p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 xml:space="preserve">Data protection is both a legal requirement and a commitment to ethical business practice. </w:t>
      </w:r>
    </w:p>
    <w:p w14:paraId="3A809479" w14:textId="77777777" w:rsidR="008551A5" w:rsidRDefault="008551A5" w:rsidP="00CB305A">
      <w:pPr>
        <w:rPr>
          <w:rFonts w:ascii="TheMix Trial SemiLight" w:hAnsi="TheMix Trial SemiLight"/>
          <w:color w:val="004852"/>
          <w:sz w:val="22"/>
          <w:szCs w:val="24"/>
        </w:rPr>
      </w:pPr>
    </w:p>
    <w:p w14:paraId="5B9C7D12" w14:textId="2FF09926" w:rsidR="00CB305A" w:rsidRPr="00CB305A" w:rsidRDefault="00CB305A" w:rsidP="00CB305A">
      <w:p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This guide outlines the key principles and responsibilities under the </w:t>
      </w: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UK General Data Protection Regulation (UK GDPR)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t> and the </w:t>
      </w: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Data Protection Act 2018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t>, helping you understand how personal data should be handled securely, fairly, and transparently.</w:t>
      </w:r>
    </w:p>
    <w:p w14:paraId="1D76F83A" w14:textId="77777777" w:rsidR="00CB305A" w:rsidRPr="00CB305A" w:rsidRDefault="008551A5" w:rsidP="00CB305A">
      <w:pPr>
        <w:rPr>
          <w:rFonts w:ascii="TheMix Trial SemiLight" w:hAnsi="TheMix Trial SemiLight"/>
          <w:color w:val="004852"/>
          <w:sz w:val="22"/>
          <w:szCs w:val="24"/>
        </w:rPr>
      </w:pPr>
      <w:r>
        <w:rPr>
          <w:rFonts w:ascii="TheMix Trial SemiLight" w:hAnsi="TheMix Trial SemiLight"/>
          <w:color w:val="004852"/>
          <w:sz w:val="22"/>
          <w:szCs w:val="24"/>
        </w:rPr>
        <w:pict w14:anchorId="4D3E742B">
          <v:rect id="_x0000_i1025" style="width:432.75pt;height:0" o:hrpct="0" o:hralign="center" o:hrstd="t" o:hrnoshade="t" o:hr="t" fillcolor="#424242" stroked="f"/>
        </w:pict>
      </w:r>
    </w:p>
    <w:p w14:paraId="781D96FE" w14:textId="6E635C9A" w:rsid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Core Principles of Data Protection</w:t>
      </w:r>
    </w:p>
    <w:p w14:paraId="129E9FE8" w14:textId="77777777" w:rsidR="00CB305A" w:rsidRP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</w:p>
    <w:p w14:paraId="22368AE2" w14:textId="77777777" w:rsidR="00CB305A" w:rsidRDefault="00CB305A" w:rsidP="00CB305A">
      <w:pPr>
        <w:numPr>
          <w:ilvl w:val="0"/>
          <w:numId w:val="2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Lawfulness, Fairness &amp; Transparency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br/>
        <w:t>Personal data must be processed in a lawful and transparent manner. Individuals should be clearly informed about how their data is collected, used, and stored.</w:t>
      </w:r>
    </w:p>
    <w:p w14:paraId="5506BC61" w14:textId="77777777" w:rsidR="008551A5" w:rsidRPr="00CB305A" w:rsidRDefault="008551A5" w:rsidP="008551A5">
      <w:pPr>
        <w:ind w:left="720"/>
        <w:rPr>
          <w:rFonts w:ascii="TheMix Trial SemiLight" w:hAnsi="TheMix Trial SemiLight"/>
          <w:color w:val="004852"/>
          <w:sz w:val="22"/>
          <w:szCs w:val="24"/>
        </w:rPr>
      </w:pPr>
    </w:p>
    <w:p w14:paraId="217AB647" w14:textId="77777777" w:rsidR="00CB305A" w:rsidRDefault="00CB305A" w:rsidP="00CB305A">
      <w:pPr>
        <w:numPr>
          <w:ilvl w:val="0"/>
          <w:numId w:val="2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Purpose Limitation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br/>
        <w:t>Data should only be collected for specific, legitimate purposes. It must not be reused for unrelated activities without further consent.</w:t>
      </w:r>
    </w:p>
    <w:p w14:paraId="0362E899" w14:textId="77777777" w:rsidR="008551A5" w:rsidRPr="00CB305A" w:rsidRDefault="008551A5" w:rsidP="008551A5">
      <w:pPr>
        <w:rPr>
          <w:rFonts w:ascii="TheMix Trial SemiLight" w:hAnsi="TheMix Trial SemiLight"/>
          <w:color w:val="004852"/>
          <w:sz w:val="22"/>
          <w:szCs w:val="24"/>
        </w:rPr>
      </w:pPr>
    </w:p>
    <w:p w14:paraId="7BAF81C7" w14:textId="77777777" w:rsidR="00CB305A" w:rsidRDefault="00CB305A" w:rsidP="00CB305A">
      <w:pPr>
        <w:numPr>
          <w:ilvl w:val="0"/>
          <w:numId w:val="2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Data Minimisation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br/>
        <w:t>Only collect data that is strictly necessary for the intended purpose. Avoid excessive or irrelevant data collection.</w:t>
      </w:r>
    </w:p>
    <w:p w14:paraId="7247D485" w14:textId="77777777" w:rsidR="008551A5" w:rsidRPr="00CB305A" w:rsidRDefault="008551A5" w:rsidP="008551A5">
      <w:pPr>
        <w:rPr>
          <w:rFonts w:ascii="TheMix Trial SemiLight" w:hAnsi="TheMix Trial SemiLight"/>
          <w:color w:val="004852"/>
          <w:sz w:val="22"/>
          <w:szCs w:val="24"/>
        </w:rPr>
      </w:pPr>
    </w:p>
    <w:p w14:paraId="1712B425" w14:textId="77777777" w:rsidR="00CB305A" w:rsidRDefault="00CB305A" w:rsidP="00CB305A">
      <w:pPr>
        <w:numPr>
          <w:ilvl w:val="0"/>
          <w:numId w:val="2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Accuracy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br/>
        <w:t>Ensure that personal data is accurate and kept up to date. Promptly correct any inaccuracies.</w:t>
      </w:r>
    </w:p>
    <w:p w14:paraId="4B36EAA1" w14:textId="77777777" w:rsidR="008551A5" w:rsidRPr="00CB305A" w:rsidRDefault="008551A5" w:rsidP="008551A5">
      <w:pPr>
        <w:rPr>
          <w:rFonts w:ascii="TheMix Trial SemiLight" w:hAnsi="TheMix Trial SemiLight"/>
          <w:color w:val="004852"/>
          <w:sz w:val="22"/>
          <w:szCs w:val="24"/>
        </w:rPr>
      </w:pPr>
    </w:p>
    <w:p w14:paraId="4395A4DE" w14:textId="77777777" w:rsidR="00CB305A" w:rsidRDefault="00CB305A" w:rsidP="00CB305A">
      <w:pPr>
        <w:numPr>
          <w:ilvl w:val="0"/>
          <w:numId w:val="2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Storage Limitation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br/>
        <w:t>Retain personal data only for as long as necessary. Define and adhere to clear retention periods.</w:t>
      </w:r>
    </w:p>
    <w:p w14:paraId="5D795D6A" w14:textId="77777777" w:rsidR="008551A5" w:rsidRPr="00CB305A" w:rsidRDefault="008551A5" w:rsidP="008551A5">
      <w:pPr>
        <w:rPr>
          <w:rFonts w:ascii="TheMix Trial SemiLight" w:hAnsi="TheMix Trial SemiLight"/>
          <w:color w:val="004852"/>
          <w:sz w:val="22"/>
          <w:szCs w:val="24"/>
        </w:rPr>
      </w:pPr>
    </w:p>
    <w:p w14:paraId="5EE29FAE" w14:textId="77777777" w:rsidR="00CB305A" w:rsidRDefault="00CB305A" w:rsidP="00CB305A">
      <w:pPr>
        <w:numPr>
          <w:ilvl w:val="0"/>
          <w:numId w:val="2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Integrity &amp; Confidentiality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br/>
        <w:t>Protect data against unauthorised access, loss, or damage using appropriate technical and organisational security measures.</w:t>
      </w:r>
    </w:p>
    <w:p w14:paraId="1419D0AE" w14:textId="77777777" w:rsidR="008551A5" w:rsidRPr="00CB305A" w:rsidRDefault="008551A5" w:rsidP="008551A5">
      <w:pPr>
        <w:rPr>
          <w:rFonts w:ascii="TheMix Trial SemiLight" w:hAnsi="TheMix Trial SemiLight"/>
          <w:color w:val="004852"/>
          <w:sz w:val="22"/>
          <w:szCs w:val="24"/>
        </w:rPr>
      </w:pPr>
    </w:p>
    <w:p w14:paraId="3714B78B" w14:textId="77777777" w:rsidR="00CB305A" w:rsidRDefault="00CB305A" w:rsidP="00CB305A">
      <w:pPr>
        <w:numPr>
          <w:ilvl w:val="0"/>
          <w:numId w:val="2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Accountability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br/>
        <w:t>Organisations must be able to demonstrate compliance through documented policies, staff training, and regular audits.</w:t>
      </w:r>
    </w:p>
    <w:p w14:paraId="3218A0DF" w14:textId="77777777" w:rsidR="008551A5" w:rsidRDefault="008551A5" w:rsidP="008551A5">
      <w:pPr>
        <w:pStyle w:val="ListParagraph"/>
        <w:rPr>
          <w:rFonts w:ascii="TheMix Trial SemiLight" w:hAnsi="TheMix Trial SemiLight"/>
          <w:color w:val="004852"/>
          <w:sz w:val="22"/>
          <w:szCs w:val="24"/>
        </w:rPr>
      </w:pPr>
    </w:p>
    <w:p w14:paraId="1BC6BBA0" w14:textId="77777777" w:rsidR="008551A5" w:rsidRPr="00CB305A" w:rsidRDefault="008551A5" w:rsidP="008551A5">
      <w:pPr>
        <w:ind w:left="720"/>
        <w:rPr>
          <w:rFonts w:ascii="TheMix Trial SemiLight" w:hAnsi="TheMix Trial SemiLight"/>
          <w:color w:val="004852"/>
          <w:sz w:val="22"/>
          <w:szCs w:val="24"/>
        </w:rPr>
      </w:pPr>
    </w:p>
    <w:p w14:paraId="30D22777" w14:textId="77777777" w:rsidR="00CB305A" w:rsidRPr="00CB305A" w:rsidRDefault="008551A5" w:rsidP="00CB305A">
      <w:pPr>
        <w:rPr>
          <w:rFonts w:ascii="TheMix Trial SemiLight" w:hAnsi="TheMix Trial SemiLight"/>
          <w:color w:val="004852"/>
          <w:sz w:val="22"/>
          <w:szCs w:val="24"/>
        </w:rPr>
      </w:pPr>
      <w:r>
        <w:rPr>
          <w:rFonts w:ascii="TheMix Trial SemiLight" w:hAnsi="TheMix Trial SemiLight"/>
          <w:color w:val="004852"/>
          <w:sz w:val="22"/>
          <w:szCs w:val="24"/>
        </w:rPr>
        <w:pict w14:anchorId="6FFB7A2C">
          <v:rect id="_x0000_i1026" style="width:432.75pt;height:0" o:hrpct="0" o:hralign="center" o:hrstd="t" o:hrnoshade="t" o:hr="t" fillcolor="#424242" stroked="f"/>
        </w:pict>
      </w:r>
    </w:p>
    <w:p w14:paraId="0940BD27" w14:textId="0C710F77" w:rsid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lastRenderedPageBreak/>
        <w:t>Individual Rights Under UK GDPR</w:t>
      </w:r>
    </w:p>
    <w:p w14:paraId="62C92D18" w14:textId="77777777" w:rsidR="00CB305A" w:rsidRP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</w:p>
    <w:p w14:paraId="13A52822" w14:textId="77777777" w:rsidR="00CB305A" w:rsidRPr="00CB305A" w:rsidRDefault="00CB305A" w:rsidP="00CB305A">
      <w:p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Clients and individuals have the right to:</w:t>
      </w:r>
    </w:p>
    <w:p w14:paraId="42016536" w14:textId="77777777" w:rsidR="00CB305A" w:rsidRPr="008551A5" w:rsidRDefault="00CB305A" w:rsidP="008551A5">
      <w:pPr>
        <w:pStyle w:val="ListParagraph"/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4"/>
        </w:rPr>
      </w:pPr>
      <w:r w:rsidRPr="008551A5">
        <w:rPr>
          <w:rFonts w:ascii="TheMix Trial SemiLight" w:hAnsi="TheMix Trial SemiLight"/>
          <w:color w:val="004852"/>
          <w:sz w:val="22"/>
          <w:szCs w:val="24"/>
        </w:rPr>
        <w:t>Access their personal data.</w:t>
      </w:r>
    </w:p>
    <w:p w14:paraId="232378DC" w14:textId="77777777" w:rsidR="008551A5" w:rsidRPr="008551A5" w:rsidRDefault="00CB305A" w:rsidP="008551A5">
      <w:pPr>
        <w:pStyle w:val="ListParagraph"/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4"/>
        </w:rPr>
      </w:pPr>
      <w:r w:rsidRPr="008551A5">
        <w:rPr>
          <w:rFonts w:ascii="TheMix Trial SemiLight" w:hAnsi="TheMix Trial SemiLight"/>
          <w:color w:val="004852"/>
          <w:sz w:val="22"/>
          <w:szCs w:val="24"/>
        </w:rPr>
        <w:t>Request corrections to inaccurate data.</w:t>
      </w:r>
    </w:p>
    <w:p w14:paraId="0ABF971A" w14:textId="77777777" w:rsidR="008551A5" w:rsidRPr="008551A5" w:rsidRDefault="00CB305A" w:rsidP="008551A5">
      <w:pPr>
        <w:pStyle w:val="ListParagraph"/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4"/>
        </w:rPr>
      </w:pPr>
      <w:r w:rsidRPr="008551A5">
        <w:rPr>
          <w:rFonts w:ascii="TheMix Trial SemiLight" w:hAnsi="TheMix Trial SemiLight"/>
          <w:color w:val="004852"/>
          <w:sz w:val="22"/>
          <w:szCs w:val="24"/>
        </w:rPr>
        <w:t>Request deletion of data (“right to be forgotten”).</w:t>
      </w:r>
    </w:p>
    <w:p w14:paraId="3A00D18B" w14:textId="77777777" w:rsidR="008551A5" w:rsidRDefault="00CB305A" w:rsidP="008551A5">
      <w:pPr>
        <w:pStyle w:val="ListParagraph"/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4"/>
        </w:rPr>
      </w:pPr>
      <w:r w:rsidRPr="008551A5">
        <w:rPr>
          <w:rFonts w:ascii="TheMix Trial SemiLight" w:hAnsi="TheMix Trial SemiLight"/>
          <w:color w:val="004852"/>
          <w:sz w:val="22"/>
          <w:szCs w:val="24"/>
        </w:rPr>
        <w:t>Restrict or object to certain types of processing.</w:t>
      </w:r>
      <w:r w:rsidR="008551A5" w:rsidRPr="008551A5">
        <w:rPr>
          <w:rFonts w:ascii="TheMix Trial SemiLight" w:hAnsi="TheMix Trial SemiLight"/>
          <w:color w:val="004852"/>
          <w:sz w:val="22"/>
          <w:szCs w:val="24"/>
        </w:rPr>
        <w:t xml:space="preserve"> </w:t>
      </w:r>
    </w:p>
    <w:p w14:paraId="096E4F24" w14:textId="0134D819" w:rsidR="008551A5" w:rsidRDefault="008551A5" w:rsidP="008551A5">
      <w:pPr>
        <w:pStyle w:val="ListParagraph"/>
        <w:numPr>
          <w:ilvl w:val="0"/>
          <w:numId w:val="37"/>
        </w:numPr>
        <w:rPr>
          <w:rFonts w:ascii="TheMix Trial SemiLight" w:hAnsi="TheMix Trial SemiLight"/>
          <w:color w:val="004852"/>
          <w:sz w:val="22"/>
          <w:szCs w:val="24"/>
        </w:rPr>
      </w:pPr>
      <w:r>
        <w:rPr>
          <w:rFonts w:ascii="TheMix Trial SemiLight" w:hAnsi="TheMix Trial SemiLight"/>
          <w:color w:val="004852"/>
          <w:sz w:val="22"/>
          <w:szCs w:val="24"/>
        </w:rPr>
        <w:t>Receive their data in a portable format.</w:t>
      </w:r>
    </w:p>
    <w:p w14:paraId="21EAF920" w14:textId="77777777" w:rsidR="008551A5" w:rsidRPr="008551A5" w:rsidRDefault="008551A5" w:rsidP="008551A5">
      <w:pPr>
        <w:pStyle w:val="ListParagraph"/>
        <w:rPr>
          <w:rFonts w:ascii="TheMix Trial SemiLight" w:hAnsi="TheMix Trial SemiLight"/>
          <w:color w:val="004852"/>
          <w:sz w:val="22"/>
          <w:szCs w:val="24"/>
        </w:rPr>
      </w:pPr>
    </w:p>
    <w:p w14:paraId="5CEAE290" w14:textId="5AD3DD8A" w:rsidR="00CB305A" w:rsidRPr="00CB305A" w:rsidRDefault="00CB305A" w:rsidP="00CB305A">
      <w:pPr>
        <w:rPr>
          <w:rFonts w:ascii="TheMix Trial SemiLight" w:hAnsi="TheMix Trial SemiLight"/>
          <w:color w:val="004852"/>
          <w:sz w:val="22"/>
          <w:szCs w:val="24"/>
        </w:rPr>
      </w:pPr>
    </w:p>
    <w:p w14:paraId="3A029BC9" w14:textId="7A6CC77C" w:rsid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Your Responsibilities as an Employer or Service Provider</w:t>
      </w:r>
    </w:p>
    <w:p w14:paraId="25C01E0F" w14:textId="77777777" w:rsidR="00CB305A" w:rsidRP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</w:p>
    <w:p w14:paraId="111F2FF6" w14:textId="77777777" w:rsidR="00CB305A" w:rsidRPr="00CB305A" w:rsidRDefault="00CB305A" w:rsidP="008551A5">
      <w:pPr>
        <w:numPr>
          <w:ilvl w:val="0"/>
          <w:numId w:val="38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Provide clear and accessible </w:t>
      </w: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privacy notices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t> during recruitment and service delivery.</w:t>
      </w:r>
    </w:p>
    <w:p w14:paraId="747F9DD9" w14:textId="77777777" w:rsidR="00CB305A" w:rsidRPr="00CB305A" w:rsidRDefault="00CB305A" w:rsidP="008551A5">
      <w:pPr>
        <w:numPr>
          <w:ilvl w:val="0"/>
          <w:numId w:val="38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Obtain </w:t>
      </w: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explicit consent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t> for processing sensitive data (e.g. health, ethnicity).</w:t>
      </w:r>
    </w:p>
    <w:p w14:paraId="5ED7717C" w14:textId="77777777" w:rsidR="00CB305A" w:rsidRPr="00CB305A" w:rsidRDefault="00CB305A" w:rsidP="008551A5">
      <w:pPr>
        <w:numPr>
          <w:ilvl w:val="0"/>
          <w:numId w:val="38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Implement </w:t>
      </w: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secure storage and access controls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t> for all personal data.</w:t>
      </w:r>
    </w:p>
    <w:p w14:paraId="0A29925E" w14:textId="77777777" w:rsidR="00CB305A" w:rsidRPr="00CB305A" w:rsidRDefault="00CB305A" w:rsidP="008551A5">
      <w:pPr>
        <w:numPr>
          <w:ilvl w:val="0"/>
          <w:numId w:val="38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Ensure staff are </w:t>
      </w: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trained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t> on data protection policies and procedures.</w:t>
      </w:r>
    </w:p>
    <w:p w14:paraId="77E0DE56" w14:textId="77777777" w:rsidR="00CB305A" w:rsidRPr="00CB305A" w:rsidRDefault="00CB305A" w:rsidP="008551A5">
      <w:pPr>
        <w:numPr>
          <w:ilvl w:val="0"/>
          <w:numId w:val="38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Report any </w:t>
      </w: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data breaches</w:t>
      </w:r>
      <w:r w:rsidRPr="00CB305A">
        <w:rPr>
          <w:rFonts w:ascii="TheMix Trial SemiLight" w:hAnsi="TheMix Trial SemiLight"/>
          <w:color w:val="004852"/>
          <w:sz w:val="22"/>
          <w:szCs w:val="24"/>
        </w:rPr>
        <w:t> promptly to the Information Commissioner’s Office (ICO) and affected individuals.</w:t>
      </w:r>
    </w:p>
    <w:p w14:paraId="08BE804F" w14:textId="77777777" w:rsidR="00CB305A" w:rsidRPr="00CB305A" w:rsidRDefault="008551A5" w:rsidP="00CB305A">
      <w:pPr>
        <w:rPr>
          <w:rFonts w:ascii="TheMix Trial SemiLight" w:hAnsi="TheMix Trial SemiLight"/>
          <w:color w:val="004852"/>
          <w:sz w:val="22"/>
          <w:szCs w:val="24"/>
        </w:rPr>
      </w:pPr>
      <w:r>
        <w:rPr>
          <w:rFonts w:ascii="TheMix Trial SemiLight" w:hAnsi="TheMix Trial SemiLight"/>
          <w:color w:val="004852"/>
          <w:sz w:val="22"/>
          <w:szCs w:val="24"/>
        </w:rPr>
        <w:pict w14:anchorId="73E854F6">
          <v:rect id="_x0000_i1028" style="width:432.75pt;height:0" o:hrpct="0" o:hralign="center" o:hrstd="t" o:hrnoshade="t" o:hr="t" fillcolor="#424242" stroked="f"/>
        </w:pict>
      </w:r>
    </w:p>
    <w:p w14:paraId="0F4CFBF1" w14:textId="21C375B4" w:rsid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Practical Applications</w:t>
      </w:r>
    </w:p>
    <w:p w14:paraId="06FD25F1" w14:textId="77777777" w:rsidR="00CB305A" w:rsidRP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</w:p>
    <w:p w14:paraId="176A0A98" w14:textId="77777777" w:rsidR="00CB305A" w:rsidRP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Recruitment</w:t>
      </w:r>
    </w:p>
    <w:p w14:paraId="5A252BFB" w14:textId="77777777" w:rsidR="00CB305A" w:rsidRPr="00CB305A" w:rsidRDefault="00CB305A" w:rsidP="008551A5">
      <w:pPr>
        <w:numPr>
          <w:ilvl w:val="0"/>
          <w:numId w:val="3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Inform applicants how their data will be used and retained.</w:t>
      </w:r>
    </w:p>
    <w:p w14:paraId="5F150FF4" w14:textId="77777777" w:rsidR="00CB305A" w:rsidRDefault="00CB305A" w:rsidP="008551A5">
      <w:pPr>
        <w:numPr>
          <w:ilvl w:val="0"/>
          <w:numId w:val="39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Include privacy statements in job adverts and application forms.</w:t>
      </w:r>
    </w:p>
    <w:p w14:paraId="36531EAF" w14:textId="77777777" w:rsidR="00CB305A" w:rsidRPr="00CB305A" w:rsidRDefault="00CB305A" w:rsidP="00CB305A">
      <w:pPr>
        <w:ind w:left="720"/>
        <w:rPr>
          <w:rFonts w:ascii="TheMix Trial SemiLight" w:hAnsi="TheMix Trial SemiLight"/>
          <w:color w:val="004852"/>
          <w:sz w:val="22"/>
          <w:szCs w:val="24"/>
        </w:rPr>
      </w:pPr>
    </w:p>
    <w:p w14:paraId="4611E054" w14:textId="77777777" w:rsidR="00CB305A" w:rsidRP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Employee Records</w:t>
      </w:r>
    </w:p>
    <w:p w14:paraId="36D7C471" w14:textId="77777777" w:rsidR="00CB305A" w:rsidRPr="00CB305A" w:rsidRDefault="00CB305A" w:rsidP="008551A5">
      <w:pPr>
        <w:numPr>
          <w:ilvl w:val="0"/>
          <w:numId w:val="40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Limit access to HR data to authorised personnel only.</w:t>
      </w:r>
    </w:p>
    <w:p w14:paraId="0E97F94C" w14:textId="77777777" w:rsidR="00CB305A" w:rsidRDefault="00CB305A" w:rsidP="008551A5">
      <w:pPr>
        <w:numPr>
          <w:ilvl w:val="0"/>
          <w:numId w:val="40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Review and apply retention schedules consistently.</w:t>
      </w:r>
    </w:p>
    <w:p w14:paraId="27DA539A" w14:textId="77777777" w:rsidR="00CB305A" w:rsidRPr="00CB305A" w:rsidRDefault="00CB305A" w:rsidP="00CB305A">
      <w:pPr>
        <w:ind w:left="720"/>
        <w:rPr>
          <w:rFonts w:ascii="TheMix Trial SemiLight" w:hAnsi="TheMix Trial SemiLight"/>
          <w:color w:val="004852"/>
          <w:sz w:val="22"/>
          <w:szCs w:val="24"/>
        </w:rPr>
      </w:pPr>
    </w:p>
    <w:p w14:paraId="77438EB4" w14:textId="77777777" w:rsidR="00CB305A" w:rsidRP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IT Systems</w:t>
      </w:r>
    </w:p>
    <w:p w14:paraId="75C69522" w14:textId="77777777" w:rsidR="00CB305A" w:rsidRPr="00CB305A" w:rsidRDefault="00CB305A" w:rsidP="008551A5">
      <w:pPr>
        <w:numPr>
          <w:ilvl w:val="0"/>
          <w:numId w:val="41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Use encryption, access controls, and regular audits to safeguard data.</w:t>
      </w:r>
    </w:p>
    <w:p w14:paraId="5E544265" w14:textId="77777777" w:rsidR="00CB305A" w:rsidRDefault="00CB305A" w:rsidP="008551A5">
      <w:pPr>
        <w:numPr>
          <w:ilvl w:val="0"/>
          <w:numId w:val="41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Ensure systems are updated and monitored for vulnerabilities.</w:t>
      </w:r>
    </w:p>
    <w:p w14:paraId="2EA0282A" w14:textId="77777777" w:rsidR="00CB305A" w:rsidRPr="00CB305A" w:rsidRDefault="00CB305A" w:rsidP="00CB305A">
      <w:pPr>
        <w:ind w:left="720"/>
        <w:rPr>
          <w:rFonts w:ascii="TheMix Trial SemiLight" w:hAnsi="TheMix Trial SemiLight"/>
          <w:color w:val="004852"/>
          <w:sz w:val="22"/>
          <w:szCs w:val="24"/>
        </w:rPr>
      </w:pPr>
    </w:p>
    <w:p w14:paraId="6183FF12" w14:textId="77777777" w:rsidR="00CB305A" w:rsidRPr="00CB305A" w:rsidRDefault="00CB305A" w:rsidP="00CB305A">
      <w:pPr>
        <w:rPr>
          <w:rFonts w:ascii="TheMix Trial SemiLight" w:hAnsi="TheMix Trial SemiLight"/>
          <w:b/>
          <w:bCs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b/>
          <w:bCs/>
          <w:color w:val="004852"/>
          <w:sz w:val="22"/>
          <w:szCs w:val="24"/>
        </w:rPr>
        <w:t>Third-Party Contracts</w:t>
      </w:r>
    </w:p>
    <w:p w14:paraId="1FDD4256" w14:textId="77777777" w:rsidR="00CB305A" w:rsidRPr="00CB305A" w:rsidRDefault="00CB305A" w:rsidP="008551A5">
      <w:pPr>
        <w:numPr>
          <w:ilvl w:val="0"/>
          <w:numId w:val="42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Include data protection clauses in contracts with external processors.</w:t>
      </w:r>
    </w:p>
    <w:p w14:paraId="0646AD32" w14:textId="77777777" w:rsidR="00CB305A" w:rsidRPr="00CB305A" w:rsidRDefault="00CB305A" w:rsidP="008551A5">
      <w:pPr>
        <w:numPr>
          <w:ilvl w:val="0"/>
          <w:numId w:val="42"/>
        </w:numPr>
        <w:rPr>
          <w:rFonts w:ascii="TheMix Trial SemiLight" w:hAnsi="TheMix Trial SemiLight"/>
          <w:color w:val="004852"/>
          <w:sz w:val="22"/>
          <w:szCs w:val="24"/>
        </w:rPr>
      </w:pPr>
      <w:r w:rsidRPr="00CB305A">
        <w:rPr>
          <w:rFonts w:ascii="TheMix Trial SemiLight" w:hAnsi="TheMix Trial SemiLight"/>
          <w:color w:val="004852"/>
          <w:sz w:val="22"/>
          <w:szCs w:val="24"/>
        </w:rPr>
        <w:t>Ensure third parties meet your data protection standards.</w:t>
      </w:r>
    </w:p>
    <w:p w14:paraId="3CE9E0A2" w14:textId="77777777" w:rsidR="00374FFD" w:rsidRPr="00CB305A" w:rsidRDefault="00374FFD" w:rsidP="00454EAD">
      <w:pPr>
        <w:rPr>
          <w:rFonts w:ascii="TheMix Trial SemiLight" w:hAnsi="TheMix Trial SemiLight"/>
          <w:color w:val="004852"/>
          <w:sz w:val="22"/>
          <w:szCs w:val="24"/>
        </w:rPr>
      </w:pPr>
    </w:p>
    <w:sectPr w:rsidR="00374FFD" w:rsidRPr="00CB305A" w:rsidSect="00161ACA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12C0" w14:textId="77777777" w:rsidR="00CB305A" w:rsidRDefault="00CB305A" w:rsidP="00161ACA">
      <w:pPr>
        <w:spacing w:line="240" w:lineRule="auto"/>
      </w:pPr>
      <w:r>
        <w:separator/>
      </w:r>
    </w:p>
  </w:endnote>
  <w:endnote w:type="continuationSeparator" w:id="0">
    <w:p w14:paraId="16A39BD0" w14:textId="77777777" w:rsidR="00CB305A" w:rsidRDefault="00CB305A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6EA99" w14:textId="77777777" w:rsidR="00CB305A" w:rsidRDefault="00CB305A" w:rsidP="00161ACA">
      <w:pPr>
        <w:spacing w:line="240" w:lineRule="auto"/>
      </w:pPr>
      <w:r>
        <w:separator/>
      </w:r>
    </w:p>
  </w:footnote>
  <w:footnote w:type="continuationSeparator" w:id="0">
    <w:p w14:paraId="167CA99A" w14:textId="77777777" w:rsidR="00CB305A" w:rsidRDefault="00CB305A" w:rsidP="00161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3BB7"/>
    <w:multiLevelType w:val="multilevel"/>
    <w:tmpl w:val="760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6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7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8" w15:restartNumberingAfterBreak="0">
    <w:nsid w:val="11D0018D"/>
    <w:multiLevelType w:val="multilevel"/>
    <w:tmpl w:val="249AB59C"/>
    <w:numStyleLink w:val="MainNumbering"/>
  </w:abstractNum>
  <w:abstractNum w:abstractNumId="9" w15:restartNumberingAfterBreak="0">
    <w:nsid w:val="127955CD"/>
    <w:multiLevelType w:val="multilevel"/>
    <w:tmpl w:val="AF7484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D25C27"/>
    <w:multiLevelType w:val="multilevel"/>
    <w:tmpl w:val="59627C7E"/>
    <w:numStyleLink w:val="PartiesNumbering"/>
  </w:abstractNum>
  <w:abstractNum w:abstractNumId="11" w15:restartNumberingAfterBreak="0">
    <w:nsid w:val="1EC40033"/>
    <w:multiLevelType w:val="multilevel"/>
    <w:tmpl w:val="760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59A1144"/>
    <w:multiLevelType w:val="multilevel"/>
    <w:tmpl w:val="C1CC2486"/>
    <w:numStyleLink w:val="Bullets"/>
  </w:abstractNum>
  <w:abstractNum w:abstractNumId="16" w15:restartNumberingAfterBreak="0">
    <w:nsid w:val="383F1058"/>
    <w:multiLevelType w:val="multilevel"/>
    <w:tmpl w:val="59627C7E"/>
    <w:numStyleLink w:val="PartiesNumbering"/>
  </w:abstractNum>
  <w:abstractNum w:abstractNumId="17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8" w15:restartNumberingAfterBreak="0">
    <w:nsid w:val="3B5576B9"/>
    <w:multiLevelType w:val="multilevel"/>
    <w:tmpl w:val="66402324"/>
    <w:numStyleLink w:val="Definitions"/>
  </w:abstractNum>
  <w:abstractNum w:abstractNumId="19" w15:restartNumberingAfterBreak="0">
    <w:nsid w:val="44634E5A"/>
    <w:multiLevelType w:val="multilevel"/>
    <w:tmpl w:val="682017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1A61E8"/>
    <w:multiLevelType w:val="multilevel"/>
    <w:tmpl w:val="EBA6CF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460526"/>
    <w:multiLevelType w:val="multilevel"/>
    <w:tmpl w:val="950C5054"/>
    <w:numStyleLink w:val="ScheduleNumbering"/>
  </w:abstractNum>
  <w:abstractNum w:abstractNumId="22" w15:restartNumberingAfterBreak="0">
    <w:nsid w:val="4CA9239F"/>
    <w:multiLevelType w:val="multilevel"/>
    <w:tmpl w:val="FB4C5774"/>
    <w:numStyleLink w:val="Parties"/>
  </w:abstractNum>
  <w:abstractNum w:abstractNumId="23" w15:restartNumberingAfterBreak="0">
    <w:nsid w:val="513E0D8F"/>
    <w:multiLevelType w:val="multilevel"/>
    <w:tmpl w:val="760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5" w15:restartNumberingAfterBreak="0">
    <w:nsid w:val="544E7BC6"/>
    <w:multiLevelType w:val="multilevel"/>
    <w:tmpl w:val="6D36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1B3191"/>
    <w:multiLevelType w:val="hybridMultilevel"/>
    <w:tmpl w:val="69820DEE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F30"/>
    <w:multiLevelType w:val="multilevel"/>
    <w:tmpl w:val="944CB7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DC177A"/>
    <w:multiLevelType w:val="multilevel"/>
    <w:tmpl w:val="950C5054"/>
    <w:numStyleLink w:val="ScheduleNumbering"/>
  </w:abstractNum>
  <w:abstractNum w:abstractNumId="29" w15:restartNumberingAfterBreak="0">
    <w:nsid w:val="5C2F43FA"/>
    <w:multiLevelType w:val="multilevel"/>
    <w:tmpl w:val="950C5054"/>
    <w:numStyleLink w:val="ScheduleNumbering"/>
  </w:abstractNum>
  <w:abstractNum w:abstractNumId="30" w15:restartNumberingAfterBreak="0">
    <w:nsid w:val="5DA24D5E"/>
    <w:multiLevelType w:val="multilevel"/>
    <w:tmpl w:val="249AB59C"/>
    <w:numStyleLink w:val="MainNumbering"/>
  </w:abstractNum>
  <w:abstractNum w:abstractNumId="31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33" w15:restartNumberingAfterBreak="0">
    <w:nsid w:val="62E82384"/>
    <w:multiLevelType w:val="multilevel"/>
    <w:tmpl w:val="760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6E06D78"/>
    <w:multiLevelType w:val="multilevel"/>
    <w:tmpl w:val="760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7AD1A85"/>
    <w:multiLevelType w:val="hybridMultilevel"/>
    <w:tmpl w:val="2978394C"/>
    <w:lvl w:ilvl="0" w:tplc="A5B49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6492E"/>
    <w:multiLevelType w:val="multilevel"/>
    <w:tmpl w:val="249AB59C"/>
    <w:numStyleLink w:val="MainNumbering"/>
  </w:abstractNum>
  <w:abstractNum w:abstractNumId="37" w15:restartNumberingAfterBreak="0">
    <w:nsid w:val="6CA9556F"/>
    <w:multiLevelType w:val="multilevel"/>
    <w:tmpl w:val="249AB59C"/>
    <w:numStyleLink w:val="MainNumbering"/>
  </w:abstractNum>
  <w:abstractNum w:abstractNumId="38" w15:restartNumberingAfterBreak="0">
    <w:nsid w:val="6DC434DA"/>
    <w:multiLevelType w:val="multilevel"/>
    <w:tmpl w:val="760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5F10EA"/>
    <w:multiLevelType w:val="multilevel"/>
    <w:tmpl w:val="E74294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9602354">
    <w:abstractNumId w:val="7"/>
  </w:num>
  <w:num w:numId="2" w16cid:durableId="1490094309">
    <w:abstractNumId w:val="14"/>
  </w:num>
  <w:num w:numId="3" w16cid:durableId="81610139">
    <w:abstractNumId w:val="31"/>
  </w:num>
  <w:num w:numId="4" w16cid:durableId="72894094">
    <w:abstractNumId w:val="2"/>
  </w:num>
  <w:num w:numId="5" w16cid:durableId="107358307">
    <w:abstractNumId w:val="13"/>
  </w:num>
  <w:num w:numId="6" w16cid:durableId="974211804">
    <w:abstractNumId w:val="10"/>
  </w:num>
  <w:num w:numId="7" w16cid:durableId="930048195">
    <w:abstractNumId w:val="22"/>
  </w:num>
  <w:num w:numId="8" w16cid:durableId="1443186005">
    <w:abstractNumId w:val="15"/>
  </w:num>
  <w:num w:numId="9" w16cid:durableId="838740809">
    <w:abstractNumId w:val="18"/>
  </w:num>
  <w:num w:numId="10" w16cid:durableId="1489051395">
    <w:abstractNumId w:val="6"/>
  </w:num>
  <w:num w:numId="11" w16cid:durableId="9082722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5754008">
    <w:abstractNumId w:val="8"/>
  </w:num>
  <w:num w:numId="13" w16cid:durableId="546839542">
    <w:abstractNumId w:val="17"/>
  </w:num>
  <w:num w:numId="14" w16cid:durableId="1196578845">
    <w:abstractNumId w:val="24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62753619">
    <w:abstractNumId w:val="30"/>
  </w:num>
  <w:num w:numId="16" w16cid:durableId="2146658925">
    <w:abstractNumId w:val="36"/>
  </w:num>
  <w:num w:numId="17" w16cid:durableId="827942651">
    <w:abstractNumId w:val="1"/>
  </w:num>
  <w:num w:numId="18" w16cid:durableId="542643231">
    <w:abstractNumId w:val="24"/>
  </w:num>
  <w:num w:numId="19" w16cid:durableId="1642222722">
    <w:abstractNumId w:val="37"/>
  </w:num>
  <w:num w:numId="20" w16cid:durableId="1875538658">
    <w:abstractNumId w:val="21"/>
  </w:num>
  <w:num w:numId="21" w16cid:durableId="1772821971">
    <w:abstractNumId w:val="28"/>
  </w:num>
  <w:num w:numId="22" w16cid:durableId="1731227059">
    <w:abstractNumId w:val="3"/>
  </w:num>
  <w:num w:numId="23" w16cid:durableId="1065837780">
    <w:abstractNumId w:val="29"/>
  </w:num>
  <w:num w:numId="24" w16cid:durableId="1893997610">
    <w:abstractNumId w:val="16"/>
  </w:num>
  <w:num w:numId="25" w16cid:durableId="1565263927">
    <w:abstractNumId w:val="12"/>
  </w:num>
  <w:num w:numId="26" w16cid:durableId="1913537206">
    <w:abstractNumId w:val="0"/>
  </w:num>
  <w:num w:numId="27" w16cid:durableId="856969401">
    <w:abstractNumId w:val="5"/>
  </w:num>
  <w:num w:numId="28" w16cid:durableId="72048294">
    <w:abstractNumId w:val="5"/>
  </w:num>
  <w:num w:numId="29" w16cid:durableId="755328919">
    <w:abstractNumId w:val="25"/>
  </w:num>
  <w:num w:numId="30" w16cid:durableId="1791631517">
    <w:abstractNumId w:val="34"/>
  </w:num>
  <w:num w:numId="31" w16cid:durableId="1491600516">
    <w:abstractNumId w:val="23"/>
  </w:num>
  <w:num w:numId="32" w16cid:durableId="1176337508">
    <w:abstractNumId w:val="38"/>
  </w:num>
  <w:num w:numId="33" w16cid:durableId="1146320450">
    <w:abstractNumId w:val="33"/>
  </w:num>
  <w:num w:numId="34" w16cid:durableId="566034975">
    <w:abstractNumId w:val="4"/>
  </w:num>
  <w:num w:numId="35" w16cid:durableId="1428500348">
    <w:abstractNumId w:val="11"/>
  </w:num>
  <w:num w:numId="36" w16cid:durableId="893352490">
    <w:abstractNumId w:val="35"/>
  </w:num>
  <w:num w:numId="37" w16cid:durableId="760030799">
    <w:abstractNumId w:val="26"/>
  </w:num>
  <w:num w:numId="38" w16cid:durableId="671416975">
    <w:abstractNumId w:val="27"/>
  </w:num>
  <w:num w:numId="39" w16cid:durableId="1189175048">
    <w:abstractNumId w:val="20"/>
  </w:num>
  <w:num w:numId="40" w16cid:durableId="341516180">
    <w:abstractNumId w:val="19"/>
  </w:num>
  <w:num w:numId="41" w16cid:durableId="1840194847">
    <w:abstractNumId w:val="9"/>
  </w:num>
  <w:num w:numId="42" w16cid:durableId="391781140">
    <w:abstractNumId w:val="3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CB305A"/>
    <w:rsid w:val="000630F4"/>
    <w:rsid w:val="00064EEE"/>
    <w:rsid w:val="00087D4D"/>
    <w:rsid w:val="000A5DFA"/>
    <w:rsid w:val="000F76F2"/>
    <w:rsid w:val="00135B65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2165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05A80"/>
    <w:rsid w:val="007B41A3"/>
    <w:rsid w:val="007B6205"/>
    <w:rsid w:val="007D07A0"/>
    <w:rsid w:val="008176ED"/>
    <w:rsid w:val="00823BA9"/>
    <w:rsid w:val="00853DED"/>
    <w:rsid w:val="008551A5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BB4D12"/>
    <w:rsid w:val="00BE2EFE"/>
    <w:rsid w:val="00C01DD6"/>
    <w:rsid w:val="00C233FB"/>
    <w:rsid w:val="00C36D4E"/>
    <w:rsid w:val="00C40E01"/>
    <w:rsid w:val="00C436D6"/>
    <w:rsid w:val="00CB305A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08CF57A2"/>
  <w15:chartTrackingRefBased/>
  <w15:docId w15:val="{CA1D31AA-5C6A-46DE-9292-E5C84A78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77103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CB3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CB305A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CB3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CB305A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CB3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CB3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CB3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CB3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CB305A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CB305A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CB305A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CB305A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CB305A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CB305A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CB305A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CB305A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CB3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CB3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CB30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CB3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CB3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CB305A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CB305A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CB305A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B305A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B305A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CB305A"/>
    <w:rPr>
      <w:b/>
      <w:bCs/>
      <w:smallCaps/>
      <w:color w:val="000000" w:themeColor="accent1" w:themeShade="BF"/>
      <w:spacing w:val="5"/>
    </w:rPr>
  </w:style>
  <w:style w:type="paragraph" w:styleId="Revision">
    <w:name w:val="Revision"/>
    <w:hidden/>
    <w:uiPriority w:val="99"/>
    <w:semiHidden/>
    <w:rsid w:val="00BB4D12"/>
    <w:pPr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2395</Characters>
  <Application>Microsoft Office Word</Application>
  <DocSecurity>0</DocSecurity>
  <Lines>70</Lines>
  <Paragraphs>43</Paragraphs>
  <ScaleCrop>false</ScaleCrop>
  <Company>Weightmans LLP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2025-09-03T09:38:00Z</dcterms:created>
  <dcterms:modified xsi:type="dcterms:W3CDTF">2025-10-07T10:14:00Z</dcterms:modified>
</cp:coreProperties>
</file>